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p>
    <w:p>
      <w:pPr>
        <w:spacing w:line="560" w:lineRule="exact"/>
        <w:jc w:val="center"/>
        <w:rPr>
          <w:rFonts w:hint="eastAsia"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bookmarkStart w:id="0" w:name="_GoBack"/>
      <w:bookmarkEnd w:id="0"/>
      <w:r>
        <w:rPr>
          <w:rFonts w:hint="eastAsia" w:ascii="方正小标宋简体" w:hAnsi="黑体" w:eastAsia="方正小标宋简体"/>
          <w:sz w:val="44"/>
          <w:szCs w:val="44"/>
        </w:rPr>
        <w:t>普通高等学校本科教育教学审核评估</w:t>
      </w:r>
    </w:p>
    <w:p>
      <w:pPr>
        <w:spacing w:line="560" w:lineRule="exact"/>
        <w:jc w:val="center"/>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rPr>
        <w:t>指标体系</w:t>
      </w:r>
      <w:r>
        <w:rPr>
          <w:rFonts w:hint="eastAsia" w:ascii="方正小标宋简体" w:hAnsi="黑体" w:eastAsia="方正小标宋简体"/>
          <w:sz w:val="44"/>
          <w:szCs w:val="44"/>
          <w:lang w:eastAsia="zh-CN"/>
        </w:rPr>
        <w:t>（</w:t>
      </w:r>
      <w:r>
        <w:rPr>
          <w:rFonts w:hint="eastAsia" w:ascii="方正小标宋简体" w:hAnsi="黑体" w:eastAsia="方正小标宋简体"/>
          <w:sz w:val="44"/>
          <w:szCs w:val="44"/>
          <w:lang w:val="en-US" w:eastAsia="zh-CN"/>
        </w:rPr>
        <w:t>B2</w:t>
      </w:r>
      <w:r>
        <w:rPr>
          <w:rFonts w:hint="eastAsia" w:ascii="方正小标宋简体" w:hAnsi="黑体" w:eastAsia="方正小标宋简体"/>
          <w:sz w:val="44"/>
          <w:szCs w:val="44"/>
          <w:lang w:eastAsia="zh-CN"/>
        </w:rPr>
        <w:t>）</w:t>
      </w:r>
    </w:p>
    <w:p>
      <w:pPr>
        <w:spacing w:line="560" w:lineRule="exact"/>
        <w:jc w:val="center"/>
        <w:rPr>
          <w:rFonts w:ascii="楷体_GB2312" w:hAnsi="黑体" w:eastAsia="楷体_GB2312"/>
          <w:sz w:val="32"/>
          <w:szCs w:val="32"/>
        </w:rPr>
      </w:pPr>
      <w:r>
        <w:rPr>
          <w:rFonts w:hint="eastAsia" w:ascii="楷体_GB2312" w:hAnsi="黑体" w:eastAsia="楷体_GB2312"/>
          <w:sz w:val="32"/>
          <w:szCs w:val="32"/>
        </w:rPr>
        <w:t>（试行）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p>
      <w:pPr>
        <w:spacing w:line="560" w:lineRule="exact"/>
        <w:rPr>
          <w:rFonts w:hint="eastAsia" w:ascii="Times New Roman" w:hAnsi="Times New Roman" w:eastAsia="黑体"/>
          <w:sz w:val="30"/>
          <w:szCs w:val="30"/>
        </w:rPr>
      </w:pPr>
    </w:p>
    <w:p>
      <w:pPr>
        <w:spacing w:line="560" w:lineRule="exact"/>
        <w:rPr>
          <w:rFonts w:hint="eastAsia" w:ascii="Times New Roman" w:hAnsi="Times New Roman" w:eastAsia="黑体"/>
          <w:sz w:val="30"/>
          <w:szCs w:val="30"/>
        </w:rPr>
      </w:pPr>
    </w:p>
    <w:p>
      <w:pPr>
        <w:spacing w:line="560" w:lineRule="exact"/>
        <w:rPr>
          <w:rFonts w:hint="eastAsia" w:ascii="Times New Roman" w:hAnsi="Times New Roman" w:eastAsia="黑体"/>
          <w:sz w:val="30"/>
          <w:szCs w:val="30"/>
        </w:rPr>
      </w:pPr>
    </w:p>
    <w:p>
      <w:pPr>
        <w:spacing w:line="560" w:lineRule="exact"/>
        <w:rPr>
          <w:rFonts w:hint="eastAsia" w:ascii="Times New Roman" w:hAnsi="Times New Roman" w:eastAsia="黑体"/>
          <w:sz w:val="30"/>
          <w:szCs w:val="30"/>
        </w:rPr>
      </w:pPr>
    </w:p>
    <w:p>
      <w:pPr>
        <w:spacing w:line="560" w:lineRule="exact"/>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黑体"/>
          <w:sz w:val="30"/>
          <w:szCs w:val="30"/>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default" w:ascii="Times New Roman" w:hAnsi="Times New Roman" w:eastAsia="黑体"/>
          <w:sz w:val="30"/>
          <w:szCs w:val="30"/>
          <w:lang w:val="en-US" w:eastAsia="zh-CN"/>
        </w:rPr>
      </w:pPr>
      <w:r>
        <w:rPr>
          <w:rFonts w:hint="eastAsia" w:ascii="Times New Roman" w:hAnsi="Times New Roman" w:eastAsia="黑体"/>
          <w:sz w:val="30"/>
          <w:szCs w:val="30"/>
        </w:rPr>
        <w:t>第二类审核评估</w:t>
      </w:r>
      <w:r>
        <w:rPr>
          <w:rFonts w:hint="eastAsia" w:ascii="Times New Roman" w:hAnsi="Times New Roman" w:eastAsia="黑体"/>
          <w:sz w:val="30"/>
          <w:szCs w:val="30"/>
          <w:lang w:eastAsia="zh-CN"/>
        </w:rPr>
        <w:t>（</w:t>
      </w:r>
      <w:r>
        <w:rPr>
          <w:rFonts w:hint="eastAsia" w:ascii="Times New Roman" w:hAnsi="Times New Roman" w:eastAsia="黑体"/>
          <w:sz w:val="30"/>
          <w:szCs w:val="30"/>
          <w:lang w:val="en-US" w:eastAsia="zh-CN"/>
        </w:rPr>
        <w:t>B2）指标体系</w:t>
      </w:r>
    </w:p>
    <w:tbl>
      <w:tblPr>
        <w:tblStyle w:val="8"/>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560"/>
        <w:gridCol w:w="917"/>
        <w:gridCol w:w="4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1204"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一级指标</w:t>
            </w:r>
          </w:p>
        </w:tc>
        <w:tc>
          <w:tcPr>
            <w:tcW w:w="1560" w:type="dxa"/>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二级指标</w:t>
            </w:r>
          </w:p>
        </w:tc>
        <w:tc>
          <w:tcPr>
            <w:tcW w:w="5811" w:type="dxa"/>
            <w:gridSpan w:val="2"/>
            <w:shd w:val="clear" w:color="auto" w:fill="auto"/>
            <w:vAlign w:val="center"/>
          </w:tcPr>
          <w:p>
            <w:pPr>
              <w:widowControl/>
              <w:spacing w:line="300" w:lineRule="exact"/>
              <w:jc w:val="center"/>
              <w:rPr>
                <w:rFonts w:ascii="Times New Roman" w:hAnsi="Times New Roman" w:eastAsia="黑体" w:cs="宋体"/>
                <w:color w:val="000000"/>
                <w:kern w:val="0"/>
                <w:szCs w:val="21"/>
              </w:rPr>
            </w:pPr>
            <w:r>
              <w:rPr>
                <w:rFonts w:hint="eastAsia" w:ascii="Times New Roman" w:hAnsi="Times New Roman" w:eastAsia="黑体" w:cs="宋体"/>
                <w:color w:val="000000"/>
                <w:kern w:val="0"/>
                <w:szCs w:val="21"/>
              </w:rPr>
              <w:t>审核重点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204"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894" w:type="dxa"/>
            <w:shd w:val="clear" w:color="auto" w:fill="auto"/>
            <w:vAlign w:val="center"/>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11"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widowControl/>
              <w:spacing w:line="300" w:lineRule="exact"/>
              <w:rPr>
                <w:rFonts w:ascii="Times New Roman" w:hAnsi="Times New Roman" w:eastAsia="PMingLiU" w:cs="宋体"/>
                <w:color w:val="FF0000"/>
                <w:kern w:val="0"/>
                <w:szCs w:val="21"/>
              </w:rPr>
            </w:pPr>
            <w:r>
              <w:rPr>
                <w:rFonts w:hint="eastAsia" w:ascii="Times New Roman" w:hAnsi="Times New Roman" w:cs="宋体"/>
                <w:kern w:val="0"/>
                <w:szCs w:val="21"/>
                <w:lang w:eastAsia="zh-TW"/>
              </w:rPr>
              <w:t>【可选】与行业企业共建的实验教学中心数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17"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894"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04" w:type="dxa"/>
            <w:vMerge w:val="continue"/>
            <w:shd w:val="clear" w:color="auto" w:fill="auto"/>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204" w:type="dxa"/>
            <w:vMerge w:val="restart"/>
            <w:shd w:val="clear" w:color="auto" w:fill="auto"/>
            <w:vAlign w:val="center"/>
          </w:tcPr>
          <w:p>
            <w:pPr>
              <w:widowControl/>
              <w:spacing w:line="300" w:lineRule="exact"/>
              <w:jc w:val="center"/>
              <w:rPr>
                <w:rFonts w:hint="default" w:ascii="Times New Roman" w:hAnsi="Times New Roman" w:cs="宋体" w:eastAsiaTheme="minorEastAsia"/>
                <w:color w:val="000000"/>
                <w:kern w:val="0"/>
                <w:szCs w:val="21"/>
                <w:lang w:val="en-US" w:eastAsia="zh-CN"/>
              </w:rPr>
            </w:pPr>
            <w:r>
              <w:rPr>
                <w:rFonts w:hint="eastAsia" w:ascii="Times New Roman" w:hAnsi="Times New Roman" w:cs="宋体"/>
                <w:color w:val="000000"/>
                <w:kern w:val="0"/>
                <w:szCs w:val="21"/>
                <w:lang w:val="en-US" w:eastAsia="zh-CN"/>
              </w:rPr>
              <w:t>教学资源与利用</w:t>
            </w: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3.2资源建设</w:t>
            </w:r>
          </w:p>
        </w:tc>
        <w:tc>
          <w:tcPr>
            <w:tcW w:w="917" w:type="dxa"/>
            <w:vMerge w:val="restart"/>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894"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894"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204"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894" w:type="dxa"/>
            <w:shd w:val="clear" w:color="auto" w:fill="auto"/>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204"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17"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【必选】教授、副教授担任专业负责人的专业占专业总数的比例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894"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204"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156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jc w:val="center"/>
        </w:trPr>
        <w:tc>
          <w:tcPr>
            <w:tcW w:w="1204" w:type="dxa"/>
            <w:vMerge w:val="continue"/>
            <w:shd w:val="clear" w:color="auto" w:fill="auto"/>
            <w:vAlign w:val="center"/>
          </w:tcPr>
          <w:p>
            <w:pPr>
              <w:spacing w:line="300" w:lineRule="exact"/>
              <w:jc w:val="center"/>
              <w:rPr>
                <w:rFonts w:ascii="Times New Roman" w:hAnsi="Times New Roman" w:cs="宋体"/>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17"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894"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11" w:type="dxa"/>
            <w:gridSpan w:val="2"/>
            <w:shd w:val="clear" w:color="auto" w:fill="auto"/>
          </w:tcPr>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11"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156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11"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204"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17"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894"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204"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1204"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1204"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156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r>
    </w:tbl>
    <w:p>
      <w:pPr>
        <w:spacing w:line="300" w:lineRule="exact"/>
        <w:rPr>
          <w:rFonts w:ascii="Times New Roman" w:hAnsi="Times New Roman" w:cs="宋体"/>
          <w:b/>
          <w:kern w:val="0"/>
          <w:szCs w:val="21"/>
        </w:rPr>
      </w:pPr>
    </w:p>
    <w:p>
      <w:pPr>
        <w:spacing w:line="300" w:lineRule="exact"/>
        <w:rPr>
          <w:rFonts w:hint="eastAsia" w:ascii="Times New Roman" w:hAnsi="Times New Roman" w:cs="宋体"/>
          <w:b/>
          <w:kern w:val="0"/>
          <w:szCs w:val="21"/>
        </w:rPr>
      </w:pPr>
    </w:p>
    <w:p>
      <w:pPr>
        <w:spacing w:line="300" w:lineRule="exact"/>
        <w:rPr>
          <w:rFonts w:hint="eastAsia" w:ascii="Times New Roman" w:hAnsi="Times New Roman" w:cs="宋体"/>
          <w:b/>
          <w:kern w:val="0"/>
          <w:szCs w:val="21"/>
        </w:rPr>
      </w:pPr>
    </w:p>
    <w:p>
      <w:pPr>
        <w:spacing w:line="300" w:lineRule="exact"/>
        <w:rPr>
          <w:rFonts w:hint="eastAsia" w:ascii="Times New Roman" w:hAnsi="Times New Roman" w:cs="宋体"/>
          <w:b/>
          <w:kern w:val="0"/>
          <w:szCs w:val="21"/>
        </w:rPr>
      </w:pPr>
    </w:p>
    <w:p>
      <w:pPr>
        <w:spacing w:line="300" w:lineRule="exact"/>
        <w:rPr>
          <w:rFonts w:ascii="Times New Roman" w:hAnsi="Times New Roman" w:cs="宋体"/>
          <w:b/>
          <w:kern w:val="0"/>
          <w:szCs w:val="21"/>
        </w:rPr>
      </w:pPr>
      <w:r>
        <w:rPr>
          <w:rFonts w:hint="eastAsia" w:ascii="Times New Roman" w:hAnsi="Times New Roman" w:cs="宋体"/>
          <w:b/>
          <w:kern w:val="0"/>
          <w:szCs w:val="21"/>
        </w:rPr>
        <w:t>备注：</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3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（教发〔2020〕6号）。</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3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300" w:lineRule="exact"/>
        <w:ind w:firstLine="420" w:firstLineChars="200"/>
        <w:rPr>
          <w:rFonts w:ascii="Times New Roman" w:hAnsi="Times New Roman" w:cs="宋体"/>
          <w:kern w:val="0"/>
          <w:szCs w:val="21"/>
        </w:r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sectPr>
      <w:headerReference r:id="rId3" w:type="default"/>
      <w:footerReference r:id="rId4"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5852300"/>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4</w:t>
        </w:r>
        <w:r>
          <w:rPr>
            <w:rFonts w:ascii="Times New Roman" w:hAnsi="Times New Roman" w:cs="Times New Roman"/>
            <w:sz w:val="24"/>
            <w:szCs w:val="24"/>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ZTc0Y2E2ZmE2ZDNhZTJlZTU0NGIxOTI4MzY0MjgifQ=="/>
  </w:docVars>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0F6816"/>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7AF"/>
    <w:rsid w:val="00195B4A"/>
    <w:rsid w:val="00196A4F"/>
    <w:rsid w:val="00197036"/>
    <w:rsid w:val="001A07E9"/>
    <w:rsid w:val="001A127F"/>
    <w:rsid w:val="001A38B1"/>
    <w:rsid w:val="001A3BF0"/>
    <w:rsid w:val="001A45AF"/>
    <w:rsid w:val="001A50A2"/>
    <w:rsid w:val="001A742B"/>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4D74"/>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A9C"/>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5E00"/>
    <w:rsid w:val="00346329"/>
    <w:rsid w:val="0035059A"/>
    <w:rsid w:val="00350669"/>
    <w:rsid w:val="00353339"/>
    <w:rsid w:val="003535DF"/>
    <w:rsid w:val="00356E32"/>
    <w:rsid w:val="0036060A"/>
    <w:rsid w:val="00362563"/>
    <w:rsid w:val="00371769"/>
    <w:rsid w:val="00374810"/>
    <w:rsid w:val="00375067"/>
    <w:rsid w:val="003750A0"/>
    <w:rsid w:val="00375C78"/>
    <w:rsid w:val="00375CE5"/>
    <w:rsid w:val="0038345B"/>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3AF9"/>
    <w:rsid w:val="004443E5"/>
    <w:rsid w:val="004469D4"/>
    <w:rsid w:val="00464DE7"/>
    <w:rsid w:val="00465A40"/>
    <w:rsid w:val="00465FA6"/>
    <w:rsid w:val="00471CBB"/>
    <w:rsid w:val="00472BF3"/>
    <w:rsid w:val="00475C8C"/>
    <w:rsid w:val="00476708"/>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200BE"/>
    <w:rsid w:val="00520ACA"/>
    <w:rsid w:val="00521598"/>
    <w:rsid w:val="00521AFF"/>
    <w:rsid w:val="005220B8"/>
    <w:rsid w:val="005270B7"/>
    <w:rsid w:val="005274E6"/>
    <w:rsid w:val="00532F96"/>
    <w:rsid w:val="005354F3"/>
    <w:rsid w:val="00536E7F"/>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23057"/>
    <w:rsid w:val="00624E4A"/>
    <w:rsid w:val="006272BA"/>
    <w:rsid w:val="00630CFE"/>
    <w:rsid w:val="00634E59"/>
    <w:rsid w:val="006424DE"/>
    <w:rsid w:val="00645A70"/>
    <w:rsid w:val="00646FFA"/>
    <w:rsid w:val="00650E90"/>
    <w:rsid w:val="006517D7"/>
    <w:rsid w:val="00657720"/>
    <w:rsid w:val="00661107"/>
    <w:rsid w:val="00664164"/>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5A85"/>
    <w:rsid w:val="00766DF6"/>
    <w:rsid w:val="00767FDE"/>
    <w:rsid w:val="00770C8A"/>
    <w:rsid w:val="0077179C"/>
    <w:rsid w:val="007867D4"/>
    <w:rsid w:val="00787499"/>
    <w:rsid w:val="007879F2"/>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BA7"/>
    <w:rsid w:val="007E4434"/>
    <w:rsid w:val="007E54CB"/>
    <w:rsid w:val="007E57AE"/>
    <w:rsid w:val="007F1387"/>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AB6"/>
    <w:rsid w:val="0089155F"/>
    <w:rsid w:val="00894018"/>
    <w:rsid w:val="00897974"/>
    <w:rsid w:val="008A23BA"/>
    <w:rsid w:val="008A3DC1"/>
    <w:rsid w:val="008A4CB0"/>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578B"/>
    <w:rsid w:val="008F59F6"/>
    <w:rsid w:val="008F7670"/>
    <w:rsid w:val="00913FF2"/>
    <w:rsid w:val="00914D01"/>
    <w:rsid w:val="00916388"/>
    <w:rsid w:val="00917AB3"/>
    <w:rsid w:val="00921423"/>
    <w:rsid w:val="00921D64"/>
    <w:rsid w:val="00921F0F"/>
    <w:rsid w:val="0092519C"/>
    <w:rsid w:val="0092675F"/>
    <w:rsid w:val="0093007B"/>
    <w:rsid w:val="0093314C"/>
    <w:rsid w:val="0093609E"/>
    <w:rsid w:val="0093668E"/>
    <w:rsid w:val="00941365"/>
    <w:rsid w:val="00944C04"/>
    <w:rsid w:val="009471C1"/>
    <w:rsid w:val="00947779"/>
    <w:rsid w:val="00951B52"/>
    <w:rsid w:val="00951C87"/>
    <w:rsid w:val="00955706"/>
    <w:rsid w:val="0095734F"/>
    <w:rsid w:val="00957806"/>
    <w:rsid w:val="009600C8"/>
    <w:rsid w:val="00961A7C"/>
    <w:rsid w:val="00966796"/>
    <w:rsid w:val="00971E14"/>
    <w:rsid w:val="00972919"/>
    <w:rsid w:val="009779AB"/>
    <w:rsid w:val="009805FB"/>
    <w:rsid w:val="0098284B"/>
    <w:rsid w:val="00985648"/>
    <w:rsid w:val="00995948"/>
    <w:rsid w:val="009973FE"/>
    <w:rsid w:val="009A2C2A"/>
    <w:rsid w:val="009A421E"/>
    <w:rsid w:val="009B3749"/>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2B9D"/>
    <w:rsid w:val="00A34D15"/>
    <w:rsid w:val="00A44274"/>
    <w:rsid w:val="00A52BF6"/>
    <w:rsid w:val="00A539F1"/>
    <w:rsid w:val="00A650F4"/>
    <w:rsid w:val="00A73261"/>
    <w:rsid w:val="00A81AF3"/>
    <w:rsid w:val="00A8303A"/>
    <w:rsid w:val="00A8550F"/>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9088C"/>
    <w:rsid w:val="00B90FD9"/>
    <w:rsid w:val="00B91234"/>
    <w:rsid w:val="00BA0A4E"/>
    <w:rsid w:val="00BA370F"/>
    <w:rsid w:val="00BA4AEE"/>
    <w:rsid w:val="00BA5426"/>
    <w:rsid w:val="00BB042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2C04"/>
    <w:rsid w:val="00C13992"/>
    <w:rsid w:val="00C17465"/>
    <w:rsid w:val="00C21728"/>
    <w:rsid w:val="00C25608"/>
    <w:rsid w:val="00C32F13"/>
    <w:rsid w:val="00C3591F"/>
    <w:rsid w:val="00C403A6"/>
    <w:rsid w:val="00C424DB"/>
    <w:rsid w:val="00C42637"/>
    <w:rsid w:val="00C4336F"/>
    <w:rsid w:val="00C46BD7"/>
    <w:rsid w:val="00C47392"/>
    <w:rsid w:val="00C5540A"/>
    <w:rsid w:val="00C63322"/>
    <w:rsid w:val="00C642E0"/>
    <w:rsid w:val="00C64F71"/>
    <w:rsid w:val="00C7072C"/>
    <w:rsid w:val="00C708B6"/>
    <w:rsid w:val="00C71ADB"/>
    <w:rsid w:val="00C74F51"/>
    <w:rsid w:val="00C756D2"/>
    <w:rsid w:val="00C77829"/>
    <w:rsid w:val="00C80869"/>
    <w:rsid w:val="00C811AC"/>
    <w:rsid w:val="00C853AD"/>
    <w:rsid w:val="00C8571C"/>
    <w:rsid w:val="00C86274"/>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E263F"/>
    <w:rsid w:val="00CE71A1"/>
    <w:rsid w:val="00CF19F1"/>
    <w:rsid w:val="00CF22A1"/>
    <w:rsid w:val="00CF2ED5"/>
    <w:rsid w:val="00CF39A9"/>
    <w:rsid w:val="00D02F70"/>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113B"/>
    <w:rsid w:val="00D41C4D"/>
    <w:rsid w:val="00D457A8"/>
    <w:rsid w:val="00D570DC"/>
    <w:rsid w:val="00D61402"/>
    <w:rsid w:val="00D61789"/>
    <w:rsid w:val="00D65E69"/>
    <w:rsid w:val="00D77071"/>
    <w:rsid w:val="00D81BA8"/>
    <w:rsid w:val="00D83148"/>
    <w:rsid w:val="00D836C8"/>
    <w:rsid w:val="00D86371"/>
    <w:rsid w:val="00D964B7"/>
    <w:rsid w:val="00DA15D8"/>
    <w:rsid w:val="00DB53C4"/>
    <w:rsid w:val="00DB62A8"/>
    <w:rsid w:val="00DB7223"/>
    <w:rsid w:val="00DC0C1E"/>
    <w:rsid w:val="00DC1F2F"/>
    <w:rsid w:val="00DC4ECF"/>
    <w:rsid w:val="00DC6558"/>
    <w:rsid w:val="00DD2680"/>
    <w:rsid w:val="00DD47F7"/>
    <w:rsid w:val="00DD4A64"/>
    <w:rsid w:val="00DD52A3"/>
    <w:rsid w:val="00DE201C"/>
    <w:rsid w:val="00DE21BE"/>
    <w:rsid w:val="00DF2FD4"/>
    <w:rsid w:val="00DF5C2E"/>
    <w:rsid w:val="00DF7A33"/>
    <w:rsid w:val="00E17974"/>
    <w:rsid w:val="00E20A2E"/>
    <w:rsid w:val="00E21C01"/>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5BF0"/>
    <w:rsid w:val="00F55D6E"/>
    <w:rsid w:val="00F662E8"/>
    <w:rsid w:val="00F67512"/>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1B16"/>
    <w:rsid w:val="00FC0737"/>
    <w:rsid w:val="00FC1212"/>
    <w:rsid w:val="00FC2D75"/>
    <w:rsid w:val="00FC424D"/>
    <w:rsid w:val="00FD0DBD"/>
    <w:rsid w:val="00FD20B3"/>
    <w:rsid w:val="00FD3B07"/>
    <w:rsid w:val="00FD4800"/>
    <w:rsid w:val="00FD622D"/>
    <w:rsid w:val="00FD6D05"/>
    <w:rsid w:val="00FE4886"/>
    <w:rsid w:val="00FE63B0"/>
    <w:rsid w:val="00FF0D14"/>
    <w:rsid w:val="00FF391D"/>
    <w:rsid w:val="00FF5E18"/>
    <w:rsid w:val="00FF646C"/>
    <w:rsid w:val="149E340D"/>
    <w:rsid w:val="17570A05"/>
    <w:rsid w:val="1DDE7891"/>
    <w:rsid w:val="224C2C9C"/>
    <w:rsid w:val="2758002D"/>
    <w:rsid w:val="3A2A56D3"/>
    <w:rsid w:val="41DF356A"/>
    <w:rsid w:val="565C2331"/>
    <w:rsid w:val="5DD121D1"/>
    <w:rsid w:val="5F49314D"/>
    <w:rsid w:val="62692BA3"/>
    <w:rsid w:val="642A3BDF"/>
    <w:rsid w:val="6DD81B0C"/>
    <w:rsid w:val="770212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网格型1"/>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2"/>
    <w:basedOn w:val="8"/>
    <w:qFormat/>
    <w:uiPriority w:val="0"/>
    <w:rPr>
      <w:rFonts w:ascii="Times New Roman" w:hAnsi="Times New Roman" w:eastAsia="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7"/>
    <w:semiHidden/>
    <w:qFormat/>
    <w:uiPriority w:val="99"/>
    <w:rPr>
      <w:b/>
      <w:bCs/>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1 Char"/>
    <w:basedOn w:val="10"/>
    <w:link w:val="2"/>
    <w:qFormat/>
    <w:uiPriority w:val="9"/>
    <w:rPr>
      <w:rFonts w:ascii="宋体" w:hAnsi="宋体" w:eastAsia="黑体" w:cs="宋体"/>
      <w:b/>
      <w:bCs/>
      <w:kern w:val="36"/>
      <w:sz w:val="32"/>
      <w:szCs w:val="4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2BEA-B750-4921-A4C7-05A66E4BA9BB}">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5384</Words>
  <Characters>5896</Characters>
  <Lines>45</Lines>
  <Paragraphs>12</Paragraphs>
  <TotalTime>1</TotalTime>
  <ScaleCrop>false</ScaleCrop>
  <LinksUpToDate>false</LinksUpToDate>
  <CharactersWithSpaces>6006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2021-02-05T06:58:00Z</dcterms:created>
  <dc:creator>duo duo</dc:creator>
  <cp:lastModifiedBy>lint</cp:lastModifiedBy>
  <cp:lastPrinted>2022-03-10T07:19:00Z</cp:lastPrinted>
  <dcterms:modified xsi:type="dcterms:W3CDTF">2023-04-18T08:55:45Z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778AE72DD1C44CE082E09D5A439DA3BB</vt:lpwstr>
  </property>
</Properties>
</file>